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56" w:afterLines="50" w:line="560" w:lineRule="exact"/>
        <w:jc w:val="left"/>
        <w:rPr>
          <w:rFonts w:hint="eastAsia" w:ascii="Times New Roman" w:hAnsi="Times New Roman" w:eastAsia="仿宋" w:cs="Times New Roman"/>
          <w:kern w:val="2"/>
          <w:sz w:val="32"/>
          <w:szCs w:val="32"/>
          <w:lang w:val="en-US" w:eastAsia="zh-CN" w:bidi="ar-SA"/>
        </w:rPr>
      </w:pPr>
      <w:r>
        <w:rPr>
          <w:rFonts w:hint="default" w:ascii="Times New Roman" w:hAnsi="Times New Roman" w:eastAsia="仿宋" w:cs="Times New Roman"/>
          <w:b/>
          <w:bCs/>
          <w:kern w:val="2"/>
          <w:sz w:val="28"/>
          <w:szCs w:val="28"/>
          <w:lang w:val="en-US" w:eastAsia="zh-CN" w:bidi="ar-SA"/>
        </w:rPr>
        <w:t>“诚实守信 做受尊敬的上市公司”投资者保护专项行动</w:t>
      </w:r>
      <w:r>
        <w:rPr>
          <w:rFonts w:hint="eastAsia" w:ascii="Times New Roman" w:hAnsi="Times New Roman" w:eastAsia="仿宋" w:cs="Times New Roman"/>
          <w:b/>
          <w:bCs/>
          <w:kern w:val="2"/>
          <w:sz w:val="28"/>
          <w:szCs w:val="28"/>
          <w:lang w:val="en-US" w:eastAsia="zh-CN" w:bidi="ar-SA"/>
        </w:rPr>
        <w:t>系列宣传文章</w:t>
      </w:r>
    </w:p>
    <w:p>
      <w:pPr>
        <w:spacing w:after="156" w:afterLines="50" w:line="560" w:lineRule="exact"/>
        <w:jc w:val="left"/>
        <w:rPr>
          <w:rFonts w:hint="eastAsia" w:ascii="Times New Roman" w:hAnsi="Times New Roman" w:eastAsia="仿宋" w:cs="Times New Roman"/>
          <w:kern w:val="2"/>
          <w:sz w:val="32"/>
          <w:szCs w:val="32"/>
          <w:lang w:val="en-US" w:eastAsia="zh-CN" w:bidi="ar-SA"/>
        </w:rPr>
      </w:pPr>
    </w:p>
    <w:p/>
    <w:p>
      <w:pPr>
        <w:spacing w:line="360" w:lineRule="auto"/>
        <w:rPr>
          <w:rFonts w:ascii="Calibri" w:hAnsi="Calibri" w:eastAsia="宋体" w:cs="Times New Roman"/>
          <w:b/>
          <w:sz w:val="44"/>
          <w:szCs w:val="44"/>
        </w:rPr>
      </w:pPr>
      <w:r>
        <w:rPr>
          <w:rFonts w:hint="eastAsia" w:ascii="Calibri" w:hAnsi="Calibri" w:eastAsia="宋体" w:cs="Times New Roman"/>
          <w:b/>
          <w:sz w:val="44"/>
          <w:szCs w:val="44"/>
        </w:rPr>
        <w:t>成为“浙江及国内传媒数字经济的领跑者”</w:t>
      </w:r>
    </w:p>
    <w:p>
      <w:pPr>
        <w:spacing w:line="360" w:lineRule="auto"/>
        <w:ind w:firstLine="643" w:firstLineChars="200"/>
        <w:jc w:val="right"/>
        <w:rPr>
          <w:rFonts w:ascii="Calibri" w:hAnsi="Calibri" w:eastAsia="宋体" w:cs="Times New Roman"/>
          <w:b/>
          <w:sz w:val="32"/>
          <w:szCs w:val="32"/>
        </w:rPr>
      </w:pPr>
    </w:p>
    <w:p>
      <w:pPr>
        <w:spacing w:line="360" w:lineRule="auto"/>
        <w:ind w:firstLine="640" w:firstLineChars="200"/>
        <w:rPr>
          <w:rFonts w:ascii="楷体" w:hAnsi="楷体" w:eastAsia="楷体" w:cs="Times New Roman"/>
          <w:sz w:val="32"/>
          <w:szCs w:val="32"/>
        </w:rPr>
      </w:pPr>
      <w:bookmarkStart w:id="0" w:name="_GoBack"/>
      <w:bookmarkEnd w:id="0"/>
    </w:p>
    <w:p>
      <w:pPr>
        <w:spacing w:line="360" w:lineRule="auto"/>
        <w:ind w:firstLine="640" w:firstLineChars="200"/>
        <w:rPr>
          <w:rFonts w:ascii="仿宋" w:hAnsi="仿宋" w:eastAsia="仿宋" w:cs="Times New Roman"/>
          <w:sz w:val="32"/>
          <w:szCs w:val="32"/>
        </w:rPr>
      </w:pPr>
      <w:r>
        <w:rPr>
          <w:rFonts w:hint="eastAsia" w:ascii="仿宋" w:hAnsi="仿宋" w:eastAsia="仿宋" w:cs="Times New Roman"/>
          <w:sz w:val="32"/>
          <w:szCs w:val="32"/>
        </w:rPr>
        <w:t>浙报数字文化集团股份有限公司（证券代码：600633.SH，简称：浙数文化）脱胎于中国第一家由报业集团媒体经营性资产整体上市的公司浙报传媒集团股份有限公司，自2011年上市以来，围绕建设成为“浙江及国内传媒数字经济的领跑者”的发展目标，依托党报资源和资本平台优势，紧紧抓住政策和行业发展机遇，推进体制机制改革和产业创新转型，已成功从一家传统报业上市公司发展为以互联网数字文化业务为核心的产业集团，目前主业聚焦数字娱乐、大数据、数字体育等核心业务，重点打造数字文化及政府数字经济赋能平台两大核心板块，着力发展电商服务、艺术品服务等文化产业服务和文化产业投资业务，同时集中资源打造融媒体业务板块，大力服务国家媒体融合发展战略，推动公司高质量、可持续发展，被资本市场誉为国有传媒行业创新转型的标杆。</w:t>
      </w:r>
    </w:p>
    <w:p>
      <w:pPr>
        <w:spacing w:line="360" w:lineRule="auto"/>
        <w:ind w:firstLine="640" w:firstLineChars="200"/>
        <w:rPr>
          <w:rFonts w:ascii="仿宋" w:hAnsi="仿宋" w:eastAsia="仿宋" w:cs="Times New Roman"/>
          <w:sz w:val="32"/>
          <w:szCs w:val="32"/>
        </w:rPr>
      </w:pPr>
      <w:r>
        <w:rPr>
          <w:rFonts w:hint="eastAsia" w:ascii="仿宋" w:hAnsi="仿宋" w:eastAsia="仿宋" w:cs="Times New Roman"/>
          <w:sz w:val="32"/>
          <w:szCs w:val="32"/>
        </w:rPr>
        <w:t>自上市以来，公司严格遵守《公司法》《证券法》等法律法规和《公司章程》等制度规定，以高质量信息披露为核心，严格风险管控，防范内幕交易，实现公司规范发展，全力保护投资者权益。今年3月1日，新修订的《中华人民共和国证券法》正式施行，标志着我国证券市场法制化建设进入新的发展阶段，为进一步提高上市公司整体质量和加强投资者权益保护提供了更完善和坚实的法律保障。</w:t>
      </w:r>
    </w:p>
    <w:p>
      <w:pPr>
        <w:spacing w:line="360" w:lineRule="auto"/>
        <w:ind w:firstLine="640" w:firstLineChars="200"/>
        <w:rPr>
          <w:rFonts w:ascii="仿宋" w:hAnsi="仿宋" w:eastAsia="仿宋" w:cs="Times New Roman"/>
          <w:sz w:val="32"/>
          <w:szCs w:val="32"/>
        </w:rPr>
      </w:pPr>
      <w:r>
        <w:rPr>
          <w:rFonts w:hint="eastAsia" w:ascii="仿宋" w:hAnsi="仿宋" w:eastAsia="仿宋" w:cs="Times New Roman"/>
          <w:sz w:val="32"/>
          <w:szCs w:val="32"/>
        </w:rPr>
        <w:t>公司将以贯彻新《证券法》为契机，继续以保护投资者权益为重心，以股东和社会价值创造为宗旨，以敬畏之心，谋划发展之道，积极践行规范运作下的高质量发展，勠力同心、砥砺奋进，努力为投资者和资本市场创造价值。</w:t>
      </w:r>
    </w:p>
    <w:p>
      <w:pPr>
        <w:spacing w:line="360" w:lineRule="auto"/>
        <w:ind w:firstLine="640" w:firstLineChars="200"/>
        <w:rPr>
          <w:rFonts w:ascii="仿宋" w:hAnsi="仿宋" w:eastAsia="仿宋" w:cs="Times New Roman"/>
          <w:sz w:val="32"/>
          <w:szCs w:val="32"/>
        </w:rPr>
      </w:pPr>
    </w:p>
    <w:p>
      <w:pPr>
        <w:spacing w:line="360" w:lineRule="auto"/>
        <w:ind w:firstLine="643" w:firstLineChars="200"/>
        <w:rPr>
          <w:rFonts w:ascii="仿宋" w:hAnsi="仿宋" w:eastAsia="仿宋" w:cs="Times New Roman"/>
          <w:b/>
          <w:sz w:val="32"/>
          <w:szCs w:val="32"/>
        </w:rPr>
      </w:pPr>
      <w:r>
        <w:rPr>
          <w:rFonts w:hint="eastAsia" w:ascii="仿宋" w:hAnsi="仿宋" w:eastAsia="仿宋" w:cs="Times New Roman"/>
          <w:b/>
          <w:sz w:val="32"/>
          <w:szCs w:val="32"/>
        </w:rPr>
        <w:t>一、实现产业创新转型，锻造企业核心竞争力，全力为投资者创造价值</w:t>
      </w:r>
    </w:p>
    <w:p>
      <w:pPr>
        <w:spacing w:line="360" w:lineRule="auto"/>
        <w:ind w:firstLine="640" w:firstLineChars="200"/>
        <w:rPr>
          <w:rFonts w:ascii="仿宋" w:hAnsi="仿宋" w:eastAsia="仿宋" w:cs="Times New Roman"/>
          <w:sz w:val="32"/>
          <w:szCs w:val="32"/>
        </w:rPr>
      </w:pPr>
      <w:r>
        <w:rPr>
          <w:rFonts w:hint="eastAsia" w:ascii="仿宋" w:hAnsi="仿宋" w:eastAsia="仿宋" w:cs="Times New Roman"/>
          <w:sz w:val="32"/>
          <w:szCs w:val="32"/>
        </w:rPr>
        <w:t>公司是国内较早布局互联网数字文化产业的上市公司，充分利用资本市场先发优势，始终在体制机制改革方面保持着持续创新能力并将其转化为充沛动力，在战略规划、产业布局等方面始终走在行业前列，坚持内生发展和外部并购并举，持续完善数字文化全产业链，加快转型升级。</w:t>
      </w:r>
    </w:p>
    <w:p>
      <w:pPr>
        <w:spacing w:line="360" w:lineRule="auto"/>
        <w:ind w:firstLine="640" w:firstLineChars="200"/>
        <w:rPr>
          <w:rFonts w:ascii="仿宋" w:hAnsi="仿宋" w:eastAsia="仿宋" w:cs="Times New Roman"/>
          <w:sz w:val="32"/>
          <w:szCs w:val="32"/>
        </w:rPr>
      </w:pPr>
      <w:r>
        <w:rPr>
          <w:rFonts w:hint="eastAsia" w:ascii="仿宋" w:hAnsi="仿宋" w:eastAsia="仿宋" w:cs="Times New Roman"/>
          <w:sz w:val="32"/>
          <w:szCs w:val="32"/>
        </w:rPr>
        <w:t>2011年成功借壳上市后，公司围绕上市前确立的“传媒控制资本、资本壮大传媒”理念，全力向“互联网枢纽型传媒集团”的战略目标迈进，及时布局了互联网相关领域；2013年，公司完成首次非公开发行，收购杭州边锋和上海浩方，搭建数字娱乐平台；2016年，公司完成第二次非公开发行，募资投建 “四位一体”大数据产业生态圈；2017年，公司实施第二次重大资产重组，剥离新闻传媒类资产，聚焦数字娱乐、大数据、数字体育等发展前景良好且已经完成深度布局的核心互联网新兴产业，同时通过投资、孵化介入了人工智能等高新技术领域，进一步完善各产业生态链；2018年，公司完成新一轮三年规划制定，进一步聚焦数字文化和政府数字经济赋能平台两大板块，目标成为“浙江及国内传媒数字经济的领跑者”。浙数文化历次的产业改革将公司牵引上了良好的发展轨道，在提升公司价值的同时，也为全体股东创造价值，维护股东权益，实现了经济效益和社会效益的统一。</w:t>
      </w:r>
    </w:p>
    <w:p>
      <w:pPr>
        <w:spacing w:line="360" w:lineRule="auto"/>
        <w:ind w:firstLine="640" w:firstLineChars="200"/>
        <w:rPr>
          <w:rFonts w:ascii="仿宋" w:hAnsi="仿宋" w:eastAsia="仿宋" w:cs="Times New Roman"/>
          <w:sz w:val="32"/>
          <w:szCs w:val="32"/>
        </w:rPr>
      </w:pPr>
      <w:r>
        <w:rPr>
          <w:rFonts w:hint="eastAsia" w:ascii="仿宋" w:hAnsi="仿宋" w:eastAsia="仿宋" w:cs="Times New Roman"/>
          <w:sz w:val="32"/>
          <w:szCs w:val="32"/>
        </w:rPr>
        <w:t>今年4月28日，公司2019年度报告正式揭晓。2019年，公司实现营业收入28.27亿元，取得净利润6.90亿元，其中归属于上市公司股东的净利润5.08亿元，扣除非经常性损益后的归属于上市公司股东的净利润2.79亿元。营收和净利润分别同比增长47%、21%，归母净利润和扣非归母净利润分别同比增长6%、12%。稳步提升的数据背后，凝聚着公司各位同仁、伙伴的智慧、勇气和心血，也是公司业务不断突破和核心竞争力持续提升的最好体现。</w:t>
      </w:r>
    </w:p>
    <w:p>
      <w:pPr>
        <w:spacing w:line="360" w:lineRule="auto"/>
        <w:ind w:firstLine="640" w:firstLineChars="200"/>
        <w:rPr>
          <w:rFonts w:ascii="仿宋" w:hAnsi="仿宋" w:eastAsia="仿宋" w:cs="Times New Roman"/>
          <w:sz w:val="32"/>
          <w:szCs w:val="32"/>
        </w:rPr>
      </w:pPr>
      <w:r>
        <w:rPr>
          <w:rFonts w:hint="eastAsia" w:ascii="仿宋" w:hAnsi="仿宋" w:eastAsia="仿宋" w:cs="Times New Roman"/>
          <w:sz w:val="32"/>
          <w:szCs w:val="32"/>
        </w:rPr>
        <w:t>报告期内，公司不断夯实在数字娱乐板块的综合竞争实力。作为浙数文化重要业务板块，边锋网络保持强劲增长势头，稳固占据国内互联网休闲游戏行业主要市场并持续拓展，继续有力支撑公司业绩稳定和增长。数字体育板块推进整体转型，专注聚焦电竞业务，为进一步做大做强电竞品牌，拓展上下游产业链夯实基础。同时，公司不断增强在大数据板块的市场开拓能力。富春云公司在互联网数据中心建设中取得突破，实现盈利目标，并积极开拓以优质IDC服务为基础的各类数据增值服务。在前期“互联网+政务服务”实战经验基础上，公司进一步下沉到城市级的新基础设施建设，深度参与“杭州城市大脑”、“数字浙江”等智慧城市建设中。与此同时，依托于党报集团、上市公司的资源禀赋和技术积累，公司积极探索媒体融合发展新路径，以短视频为抓手，全力筹建集内容聚合、审核、分发、变现为一体的“融媒体云平台”，注册资金5亿元人民币的浙报融媒体科技（浙江）有限责任公司全新亮相。</w:t>
      </w:r>
    </w:p>
    <w:p>
      <w:pPr>
        <w:spacing w:line="360" w:lineRule="auto"/>
        <w:ind w:firstLine="640" w:firstLineChars="200"/>
        <w:rPr>
          <w:rFonts w:ascii="仿宋" w:hAnsi="仿宋" w:eastAsia="仿宋" w:cs="Times New Roman"/>
          <w:sz w:val="32"/>
          <w:szCs w:val="32"/>
        </w:rPr>
      </w:pPr>
      <w:r>
        <w:rPr>
          <w:rFonts w:hint="eastAsia" w:ascii="仿宋" w:hAnsi="仿宋" w:eastAsia="仿宋" w:cs="Times New Roman"/>
          <w:sz w:val="32"/>
          <w:szCs w:val="32"/>
        </w:rPr>
        <w:t>回望公司上市后的征程，公司的目标、形态、产品、团队等始终在根据市场情况不断调整优化和发展，但有一条始终没变，就是坚定拥抱互联网推动自身产业创新的理念和决心没有变。八年多来的探索和实践，让我们深刻认识到：强大的资源整合能力是公司发展的核心竞争力，坚定不移的创新是公司发展的强劲动力，稳健的资本运作是公司发展的“蓄水池”，依法合规开展业务是公司发展的生命线。八年多来的奋力前行，既有顺势而为的战略选择，也有逆势而为的战术坚定。但每一次跨越、每一步拓展，公司都坚定不移并奋斗不懈，用激情和实干跑出高质量发展的“浙报速度”。</w:t>
      </w:r>
    </w:p>
    <w:p>
      <w:pPr>
        <w:spacing w:line="360" w:lineRule="auto"/>
        <w:ind w:firstLine="640" w:firstLineChars="200"/>
        <w:rPr>
          <w:rFonts w:ascii="仿宋" w:hAnsi="仿宋" w:eastAsia="仿宋" w:cs="Times New Roman"/>
          <w:sz w:val="32"/>
          <w:szCs w:val="32"/>
        </w:rPr>
      </w:pPr>
      <w:r>
        <w:rPr>
          <w:rFonts w:hint="eastAsia" w:ascii="仿宋" w:hAnsi="仿宋" w:eastAsia="仿宋" w:cs="Times New Roman"/>
          <w:sz w:val="32"/>
          <w:szCs w:val="32"/>
        </w:rPr>
        <w:t>上市八年多来，公司业绩保持稳定增长，累计实现归属于上市公司股东净利润</w:t>
      </w:r>
      <w:r>
        <w:rPr>
          <w:rFonts w:ascii="仿宋" w:hAnsi="仿宋" w:eastAsia="仿宋" w:cs="Times New Roman"/>
          <w:sz w:val="32"/>
          <w:szCs w:val="32"/>
        </w:rPr>
        <w:t>52.33</w:t>
      </w:r>
      <w:r>
        <w:rPr>
          <w:rFonts w:hint="eastAsia" w:ascii="仿宋" w:hAnsi="仿宋" w:eastAsia="仿宋" w:cs="Times New Roman"/>
          <w:sz w:val="32"/>
          <w:szCs w:val="32"/>
        </w:rPr>
        <w:t>亿元，持续为投资者创造价值。公司的创新转型也获得监管层和投资者的认可，交易所领导先后对公司并购重组实施情况进行专题调研和指导，对公司探索实施</w:t>
      </w:r>
      <w:r>
        <w:rPr>
          <w:rFonts w:ascii="仿宋" w:hAnsi="仿宋" w:eastAsia="仿宋" w:cs="Times New Roman"/>
          <w:sz w:val="32"/>
          <w:szCs w:val="32"/>
        </w:rPr>
        <w:t>产业转型的经验和成果</w:t>
      </w:r>
      <w:r>
        <w:rPr>
          <w:rFonts w:hint="eastAsia" w:ascii="仿宋" w:hAnsi="仿宋" w:eastAsia="仿宋" w:cs="Times New Roman"/>
          <w:sz w:val="32"/>
          <w:szCs w:val="32"/>
        </w:rPr>
        <w:t>给予</w:t>
      </w:r>
      <w:r>
        <w:rPr>
          <w:rFonts w:ascii="仿宋" w:hAnsi="仿宋" w:eastAsia="仿宋" w:cs="Times New Roman"/>
          <w:sz w:val="32"/>
          <w:szCs w:val="32"/>
        </w:rPr>
        <w:t>充分</w:t>
      </w:r>
      <w:r>
        <w:rPr>
          <w:rFonts w:hint="eastAsia" w:ascii="仿宋" w:hAnsi="仿宋" w:eastAsia="仿宋" w:cs="Times New Roman"/>
          <w:sz w:val="32"/>
          <w:szCs w:val="32"/>
        </w:rPr>
        <w:t>肯定；公司先后入选上证公司治理板块、上证180指数样本股及沪深300指数样本股，并于2016、2017年连续入选亚洲品牌500强。</w:t>
      </w:r>
    </w:p>
    <w:p>
      <w:pPr>
        <w:spacing w:line="360" w:lineRule="auto"/>
        <w:ind w:firstLine="643" w:firstLineChars="200"/>
        <w:rPr>
          <w:rFonts w:ascii="仿宋" w:hAnsi="仿宋" w:eastAsia="仿宋" w:cs="Times New Roman"/>
          <w:b/>
          <w:sz w:val="32"/>
          <w:szCs w:val="32"/>
        </w:rPr>
      </w:pPr>
      <w:r>
        <w:rPr>
          <w:rFonts w:hint="eastAsia" w:ascii="仿宋" w:hAnsi="仿宋" w:eastAsia="仿宋" w:cs="Times New Roman"/>
          <w:b/>
          <w:sz w:val="32"/>
          <w:szCs w:val="32"/>
        </w:rPr>
        <w:t>二、坚持高标准信息披露，持续高比例现金分红，与投资者共享发展成果</w:t>
      </w:r>
    </w:p>
    <w:p>
      <w:pPr>
        <w:ind w:firstLine="643" w:firstLineChars="200"/>
        <w:rPr>
          <w:rFonts w:ascii="仿宋" w:hAnsi="仿宋" w:eastAsia="仿宋" w:cs="Times New Roman"/>
          <w:b/>
          <w:sz w:val="32"/>
          <w:szCs w:val="32"/>
        </w:rPr>
      </w:pPr>
      <w:r>
        <w:rPr>
          <w:rFonts w:hint="eastAsia" w:ascii="仿宋" w:hAnsi="仿宋" w:eastAsia="仿宋" w:cs="Times New Roman"/>
          <w:b/>
          <w:sz w:val="32"/>
          <w:szCs w:val="32"/>
        </w:rPr>
        <w:t>1．践行新证券法，坚持高标准信息披露</w:t>
      </w:r>
    </w:p>
    <w:p>
      <w:pPr>
        <w:ind w:firstLine="640" w:firstLineChars="200"/>
        <w:rPr>
          <w:rFonts w:ascii="仿宋" w:hAnsi="仿宋" w:eastAsia="仿宋" w:cs="Times New Roman"/>
          <w:sz w:val="32"/>
          <w:szCs w:val="32"/>
        </w:rPr>
      </w:pPr>
      <w:r>
        <w:rPr>
          <w:rFonts w:hint="eastAsia" w:ascii="仿宋" w:hAnsi="仿宋" w:eastAsia="仿宋" w:cs="Times New Roman"/>
          <w:sz w:val="32"/>
          <w:szCs w:val="32"/>
        </w:rPr>
        <w:t>公司在上市之初即建立了以信息披露为核心，以上证E互动、官网、电话、微博、微信等多渠道平台为辅的投资者沟通交流体系，持续提升投资者沟通实际效果。在重大事项实施过程中，公司</w:t>
      </w:r>
      <w:r>
        <w:rPr>
          <w:rFonts w:ascii="仿宋" w:hAnsi="仿宋" w:eastAsia="仿宋" w:cs="Times New Roman"/>
          <w:sz w:val="32"/>
          <w:szCs w:val="32"/>
        </w:rPr>
        <w:t>均</w:t>
      </w:r>
      <w:r>
        <w:rPr>
          <w:rFonts w:hint="eastAsia" w:ascii="仿宋" w:hAnsi="仿宋" w:eastAsia="仿宋" w:cs="Times New Roman"/>
          <w:sz w:val="32"/>
          <w:szCs w:val="32"/>
        </w:rPr>
        <w:t>严格遵守相关法律法规，主动与证券监管部门提前汇报沟通，针对投资者关心的内容进行及时充分的披露。公司凭借高标准的信息披露工作连续5年获上交所信息披露评级A级。</w:t>
      </w:r>
    </w:p>
    <w:p>
      <w:pPr>
        <w:ind w:firstLine="640" w:firstLineChars="200"/>
        <w:rPr>
          <w:rFonts w:ascii="仿宋" w:hAnsi="仿宋" w:eastAsia="仿宋" w:cs="Times New Roman"/>
          <w:sz w:val="32"/>
          <w:szCs w:val="32"/>
        </w:rPr>
      </w:pPr>
      <w:r>
        <w:rPr>
          <w:rFonts w:hint="eastAsia" w:ascii="仿宋" w:hAnsi="仿宋" w:eastAsia="仿宋" w:cs="Times New Roman"/>
          <w:sz w:val="32"/>
          <w:szCs w:val="32"/>
        </w:rPr>
        <w:t>新修订的《证券法》新增“信息披露”和“投资者保护”专章，进一步完善了信息披露监管制度，规范了投资者保护具体内容，加大对违反证券监督法律行为的处罚力度，为进一步提高上市公司整体质量和加强投资者权益保护提供了更完善和坚实的法律保障。围绕新修订的《证券法》，公司将继续以保护投资者权益为重心，坚持高标准信息披露，确保信息披露的及时性、公平性，保证披露信息的真实、准确、完整，并做到简明清晰，通俗易懂，维护投资者知情权。</w:t>
      </w:r>
    </w:p>
    <w:p>
      <w:pPr>
        <w:ind w:firstLine="643" w:firstLineChars="200"/>
        <w:rPr>
          <w:rFonts w:ascii="仿宋" w:hAnsi="仿宋" w:eastAsia="仿宋" w:cs="Times New Roman"/>
          <w:b/>
          <w:sz w:val="32"/>
          <w:szCs w:val="32"/>
        </w:rPr>
      </w:pPr>
      <w:r>
        <w:rPr>
          <w:rFonts w:hint="eastAsia" w:ascii="仿宋" w:hAnsi="仿宋" w:eastAsia="仿宋" w:cs="Times New Roman"/>
          <w:b/>
          <w:sz w:val="32"/>
          <w:szCs w:val="32"/>
        </w:rPr>
        <w:t>2.完善沟通渠道，架设投资者关系桥梁</w:t>
      </w:r>
    </w:p>
    <w:p>
      <w:pPr>
        <w:ind w:firstLine="640" w:firstLineChars="200"/>
        <w:rPr>
          <w:rFonts w:ascii="仿宋" w:hAnsi="仿宋" w:eastAsia="仿宋" w:cs="Times New Roman"/>
          <w:sz w:val="32"/>
          <w:szCs w:val="32"/>
        </w:rPr>
      </w:pPr>
      <w:r>
        <w:rPr>
          <w:rFonts w:hint="eastAsia" w:ascii="仿宋" w:hAnsi="仿宋" w:eastAsia="仿宋" w:cs="Times New Roman"/>
          <w:sz w:val="32"/>
          <w:szCs w:val="32"/>
        </w:rPr>
        <w:t>近年来，受国内外宏观经济环境影响，A股市场整体行情走低。为稳定公司股权结构，维护市场形象，公司加大力度开展投资者关系管理，安排多次赴北上广深等地与投资者面对面沟通，及时传递公司经营业绩、体制机制创新、产业结构优化调整等信息，增强投资者互动交流，提升市场对公司的认可度。在定期报告和重大事项发布后，公司及时组织业绩说明会，董事长、高管、相关子公司负责人与行业研究员和投资者面对面,多方面交流公司发展战略和经营情况，并参加由证券监管部门举办的辖区上市公司投资者网上集体接待日活动，上市以来已累计接待投资者2000余人次。</w:t>
      </w:r>
    </w:p>
    <w:p>
      <w:pPr>
        <w:ind w:firstLine="640" w:firstLineChars="200"/>
        <w:rPr>
          <w:rFonts w:ascii="仿宋" w:hAnsi="仿宋" w:eastAsia="仿宋" w:cs="Times New Roman"/>
          <w:sz w:val="32"/>
          <w:szCs w:val="32"/>
        </w:rPr>
      </w:pPr>
      <w:r>
        <w:rPr>
          <w:rFonts w:hint="eastAsia" w:ascii="仿宋" w:hAnsi="仿宋" w:eastAsia="仿宋" w:cs="Times New Roman"/>
          <w:sz w:val="32"/>
          <w:szCs w:val="32"/>
        </w:rPr>
        <w:t>在日常投资者交流中，公司通过上证E互动平台、电话、微信公众号等多渠道，从并购重组、非公开发行，到日常经营和三会运作，均积极认真回复，及时充分的沟通建立了良好的投资者互动关系，较好地维护了投资者的知情权。</w:t>
      </w:r>
    </w:p>
    <w:p>
      <w:pPr>
        <w:ind w:firstLine="640" w:firstLineChars="200"/>
        <w:rPr>
          <w:rFonts w:ascii="仿宋" w:hAnsi="仿宋" w:eastAsia="仿宋" w:cs="Times New Roman"/>
          <w:sz w:val="32"/>
          <w:szCs w:val="32"/>
        </w:rPr>
      </w:pPr>
      <w:r>
        <w:rPr>
          <w:rFonts w:hint="eastAsia" w:ascii="仿宋" w:hAnsi="仿宋" w:eastAsia="仿宋" w:cs="Times New Roman"/>
          <w:sz w:val="32"/>
          <w:szCs w:val="32"/>
        </w:rPr>
        <w:t>公司积极参与各级上市公司协会投资者保护相关的活动，主动承担相应社会责任，努力为促进资本市场持续健康发展贡献力量。2014年12月,公司入选中上协首届投资者关系管理专业委员会和文化传媒行业委员会，并于2014、2015年公司连续两年被中国上市公司协会组织评选为“最受投资者尊重的上市公司百强”，2018年9月，公司再度入选中上协第二届投资者关系管理专业委员会，并担任副主任委员单位，2019年，公司当选浙江上市公司协会第五届理事会副理事长单位，全力投身于投资者保护等工作当中，从进一步规范公司治理水平、提高信息披露质量、提升公司投关管理能力、引导建立正确市值管理理念等多方面向委员会建言献策，助力中国资本市场形成保护中小投资者、服务中小投资者的良好氛围。</w:t>
      </w:r>
    </w:p>
    <w:p>
      <w:pPr>
        <w:ind w:firstLine="643" w:firstLineChars="200"/>
        <w:rPr>
          <w:rFonts w:ascii="仿宋" w:hAnsi="仿宋" w:eastAsia="仿宋" w:cs="Times New Roman"/>
          <w:b/>
          <w:sz w:val="32"/>
          <w:szCs w:val="32"/>
        </w:rPr>
      </w:pPr>
      <w:r>
        <w:rPr>
          <w:rFonts w:hint="eastAsia" w:ascii="仿宋" w:hAnsi="仿宋" w:eastAsia="仿宋" w:cs="Times New Roman"/>
          <w:b/>
          <w:sz w:val="32"/>
          <w:szCs w:val="32"/>
        </w:rPr>
        <w:t>3.保持高比例现金分红，持续回馈投资者</w:t>
      </w:r>
    </w:p>
    <w:p>
      <w:pPr>
        <w:ind w:firstLine="640" w:firstLineChars="200"/>
        <w:rPr>
          <w:rFonts w:ascii="仿宋" w:hAnsi="仿宋" w:eastAsia="仿宋" w:cs="Times New Roman"/>
          <w:sz w:val="32"/>
          <w:szCs w:val="32"/>
        </w:rPr>
      </w:pPr>
      <w:r>
        <w:rPr>
          <w:rFonts w:hint="eastAsia" w:ascii="仿宋" w:hAnsi="仿宋" w:eastAsia="仿宋" w:cs="Times New Roman"/>
          <w:sz w:val="32"/>
          <w:szCs w:val="32"/>
        </w:rPr>
        <w:t>作为投资者保护的重要组成部分，上市公司现金分红是对投资者最好的回馈和保护。浙数文化始终高度重视与投资者分享经营成果，上市之初即将现金分红要求写入《公司章程》，并实施较法定要求更高比例的现金分红政策，九年内有三年的现金分红比例超过50%，截止2019年累计现金分红已超13.53亿元人民币。</w:t>
      </w:r>
    </w:p>
    <w:p>
      <w:pPr>
        <w:spacing w:line="360" w:lineRule="auto"/>
        <w:ind w:firstLine="640" w:firstLineChars="200"/>
        <w:rPr>
          <w:rFonts w:ascii="仿宋" w:hAnsi="仿宋" w:eastAsia="仿宋" w:cs="Times New Roman"/>
          <w:sz w:val="32"/>
          <w:szCs w:val="32"/>
        </w:rPr>
      </w:pPr>
      <w:r>
        <w:rPr>
          <w:rFonts w:hint="eastAsia" w:ascii="仿宋" w:hAnsi="仿宋" w:eastAsia="仿宋" w:cs="Times New Roman"/>
          <w:sz w:val="32"/>
          <w:szCs w:val="32"/>
        </w:rPr>
        <w:t>面对近年股市波动，公司与控股股东及时采取措施，稳定公司股价，提振市场信心，保护投资者利益。2015年，为积极响应证监会稳定股市的号召，公司管理层以自有资金增持，同时控股股东以自有资金增持近1亿元；2018年，受国内外环境影响，公司在基本面良好但股价大幅下滑的情况下，第一时间推出股份回购方案，使用自有资金3</w:t>
      </w:r>
      <w:r>
        <w:rPr>
          <w:rFonts w:ascii="仿宋" w:hAnsi="仿宋" w:eastAsia="仿宋" w:cs="Times New Roman"/>
          <w:sz w:val="32"/>
          <w:szCs w:val="32"/>
        </w:rPr>
        <w:t>.07</w:t>
      </w:r>
      <w:r>
        <w:rPr>
          <w:rFonts w:hint="eastAsia" w:ascii="仿宋" w:hAnsi="仿宋" w:eastAsia="仿宋" w:cs="Times New Roman"/>
          <w:sz w:val="32"/>
          <w:szCs w:val="32"/>
        </w:rPr>
        <w:t>亿元回购公司股份</w:t>
      </w:r>
      <w:r>
        <w:rPr>
          <w:rFonts w:ascii="仿宋" w:hAnsi="仿宋" w:eastAsia="仿宋" w:cs="Times New Roman"/>
          <w:sz w:val="32"/>
          <w:szCs w:val="32"/>
        </w:rPr>
        <w:t>36,193,430</w:t>
      </w:r>
      <w:r>
        <w:rPr>
          <w:rFonts w:hint="eastAsia" w:ascii="仿宋" w:hAnsi="仿宋" w:eastAsia="仿宋" w:cs="Times New Roman"/>
          <w:sz w:val="32"/>
          <w:szCs w:val="32"/>
        </w:rPr>
        <w:t>股，占公司总股本的2.78%，控股股东也再次实施1亿元增持计划，提振投资者信心。上述举措，既传递了公司与控股股东对公司未来发展前景的信心，也展现出了公司对保护投资者权益的决心和担当，获得了证券监管部门和广大投资者的一致好评。</w:t>
      </w:r>
    </w:p>
    <w:p>
      <w:pPr>
        <w:spacing w:line="360" w:lineRule="auto"/>
        <w:ind w:firstLine="643" w:firstLineChars="200"/>
        <w:rPr>
          <w:rFonts w:ascii="仿宋" w:hAnsi="仿宋" w:eastAsia="仿宋" w:cs="Times New Roman"/>
          <w:b/>
          <w:sz w:val="32"/>
          <w:szCs w:val="32"/>
        </w:rPr>
      </w:pPr>
      <w:r>
        <w:rPr>
          <w:rFonts w:hint="eastAsia" w:ascii="仿宋" w:hAnsi="仿宋" w:eastAsia="仿宋" w:cs="Times New Roman"/>
          <w:b/>
          <w:sz w:val="32"/>
          <w:szCs w:val="32"/>
        </w:rPr>
        <w:t>三、提升危中觅机的能力，坚持加快动能变革，奏响未来新篇章</w:t>
      </w:r>
    </w:p>
    <w:p>
      <w:pPr>
        <w:spacing w:line="360" w:lineRule="auto"/>
        <w:ind w:firstLine="640" w:firstLineChars="200"/>
        <w:rPr>
          <w:rFonts w:ascii="仿宋" w:hAnsi="仿宋" w:eastAsia="仿宋" w:cs="Times New Roman"/>
          <w:sz w:val="32"/>
          <w:szCs w:val="32"/>
        </w:rPr>
      </w:pPr>
      <w:r>
        <w:rPr>
          <w:rFonts w:hint="eastAsia" w:ascii="仿宋" w:hAnsi="仿宋" w:eastAsia="仿宋" w:cs="Times New Roman"/>
          <w:sz w:val="32"/>
          <w:szCs w:val="32"/>
        </w:rPr>
        <w:t>迈入2020年，当前全球疫情扩散、金融市场动荡、经贸摩擦不断等等，全球经济和社会发展的严峻性、复杂性和不确定性愈演愈烈,危机四伏。这一年不仅将是世界格局的转折点，还将是很多行业、企业生死攸关的转折点。我们又该如何保持战略定力继续赋能前行？</w:t>
      </w:r>
    </w:p>
    <w:p>
      <w:pPr>
        <w:spacing w:line="360" w:lineRule="auto"/>
        <w:ind w:firstLine="640" w:firstLineChars="200"/>
        <w:rPr>
          <w:rFonts w:ascii="仿宋" w:hAnsi="仿宋" w:eastAsia="仿宋" w:cs="Times New Roman"/>
          <w:sz w:val="32"/>
          <w:szCs w:val="32"/>
        </w:rPr>
      </w:pPr>
      <w:r>
        <w:rPr>
          <w:rFonts w:hint="eastAsia" w:ascii="仿宋" w:hAnsi="仿宋" w:eastAsia="仿宋" w:cs="Times New Roman"/>
          <w:sz w:val="32"/>
          <w:szCs w:val="32"/>
        </w:rPr>
        <w:t>不久前，习近平总书记在春风化雨中再次亲临浙江考察，全省上下备受鼓舞、备感振奋，总书记指出“危和机总是同生并存的，克服了危即是机”，殷切期待浙江要“努力成为新时代全面展示中国特色社会主义制度优越性的重要窗口”，这是总书记对浙江提出的新目标新定位新使命。</w:t>
      </w:r>
    </w:p>
    <w:p>
      <w:pPr>
        <w:spacing w:line="360" w:lineRule="auto"/>
        <w:ind w:firstLine="640" w:firstLineChars="200"/>
        <w:rPr>
          <w:rFonts w:ascii="仿宋" w:hAnsi="仿宋" w:eastAsia="仿宋" w:cs="Times New Roman"/>
          <w:sz w:val="32"/>
          <w:szCs w:val="32"/>
        </w:rPr>
      </w:pPr>
      <w:r>
        <w:rPr>
          <w:rFonts w:hint="eastAsia" w:ascii="仿宋" w:hAnsi="仿宋" w:eastAsia="仿宋" w:cs="Times New Roman"/>
          <w:sz w:val="32"/>
          <w:szCs w:val="32"/>
        </w:rPr>
        <w:t>浙数文化作为浙江省首家上市的国有文化企业，一直走在产业创新发展和体制机制改革的前列，同时也是数字经济的先行者和探路者。我们将坚定自我发展的信心，努力提升化危为机的能力，紧紧抓住互联网、大数据技术革新和文化产业大发展的战略机遇，打开创新通路重塑产业格局。</w:t>
      </w:r>
    </w:p>
    <w:p>
      <w:pPr>
        <w:spacing w:line="360" w:lineRule="auto"/>
        <w:ind w:firstLine="640" w:firstLineChars="200"/>
        <w:rPr>
          <w:rFonts w:ascii="仿宋" w:hAnsi="仿宋" w:eastAsia="仿宋" w:cs="Times New Roman"/>
          <w:sz w:val="32"/>
          <w:szCs w:val="32"/>
        </w:rPr>
      </w:pPr>
      <w:r>
        <w:rPr>
          <w:rFonts w:hint="eastAsia" w:ascii="仿宋" w:hAnsi="仿宋" w:eastAsia="仿宋" w:cs="Times New Roman"/>
          <w:sz w:val="32"/>
          <w:szCs w:val="32"/>
        </w:rPr>
        <w:t>新的一年，公司将牢牢把握“新消费”的风口，进一步优化以边锋网络为基础的数字娱乐产业布局，在保持国内游戏业务稳定增长的同时，进一步拓展海外业务布局，加大技术研发和市场拓展的力度，探索人工智能应用于休闲、社交、文化等数字娱乐领域的可能性，推动文化产品“深下去”、“走出去”。</w:t>
      </w:r>
    </w:p>
    <w:p>
      <w:pPr>
        <w:spacing w:line="360" w:lineRule="auto"/>
        <w:ind w:firstLine="640" w:firstLineChars="200"/>
        <w:rPr>
          <w:rFonts w:ascii="仿宋" w:hAnsi="仿宋" w:eastAsia="仿宋" w:cs="Times New Roman"/>
          <w:sz w:val="32"/>
          <w:szCs w:val="32"/>
        </w:rPr>
      </w:pPr>
      <w:r>
        <w:rPr>
          <w:rFonts w:hint="eastAsia" w:ascii="仿宋" w:hAnsi="仿宋" w:eastAsia="仿宋" w:cs="Times New Roman"/>
          <w:sz w:val="32"/>
          <w:szCs w:val="32"/>
        </w:rPr>
        <w:t>新的一年，公司将紧紧抓住“新基建”的机遇，不断强化“富春云”互联网数据中心在业内的领先位置，并积极寻找新的拓展机会，进一步探索基于优质IDC资源拓展产业链上下游相关延伸服务，推动富春云成为公司经营业绩新的增长点。同时进一步投入到“城市大脑”、“数字浙江”等智慧城市、智慧政务建设中，助力浙江的数字化转型继续走在全国前列。</w:t>
      </w:r>
    </w:p>
    <w:p>
      <w:pPr>
        <w:spacing w:line="360" w:lineRule="auto"/>
        <w:ind w:firstLine="640" w:firstLineChars="200"/>
        <w:rPr>
          <w:rFonts w:ascii="仿宋" w:hAnsi="仿宋" w:eastAsia="仿宋" w:cs="Times New Roman"/>
          <w:sz w:val="32"/>
          <w:szCs w:val="32"/>
        </w:rPr>
      </w:pPr>
      <w:r>
        <w:rPr>
          <w:rFonts w:hint="eastAsia" w:ascii="仿宋" w:hAnsi="仿宋" w:eastAsia="仿宋" w:cs="Times New Roman"/>
          <w:sz w:val="32"/>
          <w:szCs w:val="32"/>
        </w:rPr>
        <w:t>新的一年，公司将全力激发内容产业在媒体深度融合下的新活力新潜能，整合资源高标准推进融媒体平台建设，助推融媒体业务板块快速实现独立、清晰的市场化运作，集中力量打造“天枢”融媒体云平台，完成“天目”融媒体云平台资源的嫁接、融合，并积极探索融媒体平台与大数据、人工智能、区块链等高新技术的有机结合，初步形成符合主流价值的互联网内容聚合体系、运营体系、传播体系与商业体系。</w:t>
      </w:r>
    </w:p>
    <w:p>
      <w:pPr>
        <w:spacing w:line="360" w:lineRule="auto"/>
        <w:ind w:firstLine="640" w:firstLineChars="200"/>
        <w:rPr>
          <w:rFonts w:ascii="仿宋" w:hAnsi="仿宋" w:eastAsia="仿宋" w:cs="Times New Roman"/>
          <w:sz w:val="32"/>
          <w:szCs w:val="32"/>
        </w:rPr>
      </w:pPr>
      <w:r>
        <w:rPr>
          <w:rFonts w:hint="eastAsia" w:ascii="仿宋" w:hAnsi="仿宋" w:eastAsia="仿宋" w:cs="Times New Roman"/>
          <w:sz w:val="32"/>
          <w:szCs w:val="32"/>
        </w:rPr>
        <w:t>新的一年，公司还将大力推进浙数文化产业园项目建设，进一步满足公司未来发展的战略需要，实现产业集聚效应，打造互联网数字文化聚合发展新地标。</w:t>
      </w:r>
    </w:p>
    <w:p>
      <w:pPr>
        <w:spacing w:line="360" w:lineRule="auto"/>
        <w:ind w:firstLine="640" w:firstLineChars="200"/>
        <w:rPr>
          <w:rFonts w:ascii="仿宋" w:hAnsi="仿宋" w:eastAsia="仿宋" w:cs="Times New Roman"/>
          <w:sz w:val="32"/>
          <w:szCs w:val="32"/>
        </w:rPr>
      </w:pPr>
      <w:r>
        <w:rPr>
          <w:rFonts w:hint="eastAsia" w:ascii="仿宋" w:hAnsi="仿宋" w:eastAsia="仿宋" w:cs="Times New Roman"/>
          <w:sz w:val="32"/>
          <w:szCs w:val="32"/>
        </w:rPr>
        <w:t>未来已来，将至已至。不确定的是环境，确定的是我们自己。在这个“百年未遇之大变局”的时代，在传媒行业融合发展真正进入深水区的大环境下，在疫情大考倒逼数字经济跨越发展的当下，我们正坚定信心，执手前行，致力于让数字连接美好生活。这正是我们现在和未来的共同追求与希望，也是我们发展和突破的坚定决心和信心。</w:t>
      </w:r>
    </w:p>
    <w:p>
      <w:pPr>
        <w:spacing w:line="360" w:lineRule="auto"/>
        <w:ind w:firstLine="640" w:firstLineChars="200"/>
        <w:rPr>
          <w:rFonts w:ascii="仿宋" w:hAnsi="仿宋" w:eastAsia="仿宋" w:cs="Times New Roman"/>
          <w:sz w:val="32"/>
          <w:szCs w:val="32"/>
        </w:rPr>
      </w:pPr>
      <w:r>
        <w:rPr>
          <w:rFonts w:hint="eastAsia" w:ascii="仿宋" w:hAnsi="仿宋" w:eastAsia="仿宋" w:cs="Times New Roman"/>
          <w:sz w:val="32"/>
          <w:szCs w:val="32"/>
        </w:rPr>
        <w:t>新的一年，公司将继续秉持高质量发展的理念，始终坚持投资者保护的信念，切实担负起保护投资者权益的责任和使命，为推动建设良好的资本市场环境而不懈努力，为股东创造更多更高的价值。</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CF3C50" w:usb2="00000016" w:usb3="00000000" w:csb0="0004001F"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